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07F3" w14:textId="77777777" w:rsidR="009B6FD7" w:rsidRDefault="002A6109" w:rsidP="009B6FD7">
      <w:pPr>
        <w:spacing w:after="480"/>
      </w:pPr>
      <w:r>
        <w:rPr>
          <w:noProof/>
          <w:lang w:eastAsia="en-GB"/>
        </w:rPr>
        <w:drawing>
          <wp:inline distT="0" distB="0" distL="0" distR="0" wp14:anchorId="41FBFF5E" wp14:editId="7B807FE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5E16D725" w14:textId="77777777" w:rsidTr="00DB6D88">
        <w:trPr>
          <w:tblHeader/>
        </w:trPr>
        <w:tc>
          <w:tcPr>
            <w:tcW w:w="3456" w:type="dxa"/>
            <w:tcBorders>
              <w:bottom w:val="single" w:sz="18" w:space="0" w:color="auto"/>
            </w:tcBorders>
          </w:tcPr>
          <w:p w14:paraId="47F7ED76" w14:textId="77777777" w:rsidR="009B6FD7" w:rsidRPr="009B6FD7" w:rsidRDefault="009B6FD7" w:rsidP="009B6FD7">
            <w:pPr>
              <w:pStyle w:val="Heading1"/>
            </w:pPr>
            <w:r w:rsidRPr="009B6FD7">
              <w:t>Report for:</w:t>
            </w:r>
          </w:p>
        </w:tc>
        <w:tc>
          <w:tcPr>
            <w:tcW w:w="5054" w:type="dxa"/>
            <w:tcBorders>
              <w:bottom w:val="single" w:sz="18" w:space="0" w:color="auto"/>
            </w:tcBorders>
          </w:tcPr>
          <w:p w14:paraId="0D5DAF32" w14:textId="77777777" w:rsidR="009B6FD7" w:rsidRPr="00A160B2" w:rsidRDefault="009B6FD7" w:rsidP="00DB6D88">
            <w:pPr>
              <w:pStyle w:val="Heading1"/>
              <w:rPr>
                <w:color w:val="0000FF"/>
                <w:szCs w:val="24"/>
              </w:rPr>
            </w:pPr>
            <w:r>
              <w:t xml:space="preserve">Health and Wellbeing Board  </w:t>
            </w:r>
          </w:p>
        </w:tc>
      </w:tr>
      <w:tr w:rsidR="009B6FD7" w14:paraId="45B8A0BB" w14:textId="77777777" w:rsidTr="00DB6D88">
        <w:tc>
          <w:tcPr>
            <w:tcW w:w="3456" w:type="dxa"/>
            <w:tcBorders>
              <w:top w:val="single" w:sz="18" w:space="0" w:color="auto"/>
            </w:tcBorders>
          </w:tcPr>
          <w:p w14:paraId="2D48994F"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52E30A2"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680C94E2" w14:textId="2559F15D" w:rsidR="009B6FD7" w:rsidRDefault="00404600" w:rsidP="00DB6D88">
            <w:pPr>
              <w:pStyle w:val="Infotext"/>
              <w:rPr>
                <w:rFonts w:cs="Arial"/>
              </w:rPr>
            </w:pPr>
            <w:r>
              <w:rPr>
                <w:rFonts w:cs="Arial"/>
              </w:rPr>
              <w:t>2 November 2023</w:t>
            </w:r>
          </w:p>
        </w:tc>
      </w:tr>
      <w:tr w:rsidR="009B6FD7" w14:paraId="0AEC87B5" w14:textId="77777777" w:rsidTr="00DB6D88">
        <w:tc>
          <w:tcPr>
            <w:tcW w:w="3456" w:type="dxa"/>
          </w:tcPr>
          <w:p w14:paraId="56FAFEB9"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760AE269" w14:textId="77777777" w:rsidR="009B6FD7" w:rsidRPr="00F92398" w:rsidRDefault="009B6FD7" w:rsidP="00DB6D88">
            <w:pPr>
              <w:pStyle w:val="Infotext"/>
              <w:rPr>
                <w:rFonts w:ascii="Arial Black" w:hAnsi="Arial Black"/>
              </w:rPr>
            </w:pPr>
          </w:p>
        </w:tc>
        <w:tc>
          <w:tcPr>
            <w:tcW w:w="5054" w:type="dxa"/>
          </w:tcPr>
          <w:p w14:paraId="1A9CC2DE" w14:textId="05D09FB6" w:rsidR="009B6FD7" w:rsidRDefault="00045B61" w:rsidP="009B7337">
            <w:pPr>
              <w:pStyle w:val="Infotext"/>
              <w:rPr>
                <w:rFonts w:cs="Arial"/>
              </w:rPr>
            </w:pPr>
            <w:r>
              <w:rPr>
                <w:rFonts w:cs="Arial"/>
              </w:rPr>
              <w:t>Harrow System Pressures M</w:t>
            </w:r>
            <w:r w:rsidR="009B7337">
              <w:rPr>
                <w:rFonts w:cs="Arial"/>
              </w:rPr>
              <w:t>etrics Report</w:t>
            </w:r>
          </w:p>
        </w:tc>
      </w:tr>
      <w:tr w:rsidR="009B6FD7" w14:paraId="763AA517" w14:textId="77777777" w:rsidTr="00DB6D88">
        <w:tc>
          <w:tcPr>
            <w:tcW w:w="3456" w:type="dxa"/>
          </w:tcPr>
          <w:p w14:paraId="2F1EE20D"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4ED2E882" w14:textId="77777777" w:rsidR="009B6FD7" w:rsidRPr="00F92398" w:rsidRDefault="009B6FD7" w:rsidP="00DB6D88">
            <w:pPr>
              <w:pStyle w:val="Infotext"/>
              <w:rPr>
                <w:rFonts w:ascii="Arial Black" w:hAnsi="Arial Black" w:cs="Arial"/>
              </w:rPr>
            </w:pPr>
          </w:p>
        </w:tc>
        <w:tc>
          <w:tcPr>
            <w:tcW w:w="5054" w:type="dxa"/>
          </w:tcPr>
          <w:p w14:paraId="0C2EB0A0" w14:textId="5724DABA" w:rsidR="009B6FD7" w:rsidRDefault="00045B61" w:rsidP="00045B61">
            <w:pPr>
              <w:pStyle w:val="Infotext"/>
              <w:rPr>
                <w:rFonts w:cs="Arial"/>
              </w:rPr>
            </w:pPr>
            <w:r>
              <w:rPr>
                <w:rFonts w:cs="Arial"/>
              </w:rPr>
              <w:t xml:space="preserve">Lisa </w:t>
            </w:r>
            <w:proofErr w:type="spellStart"/>
            <w:r>
              <w:rPr>
                <w:rFonts w:cs="Arial"/>
              </w:rPr>
              <w:t>Henschen</w:t>
            </w:r>
            <w:proofErr w:type="spellEnd"/>
            <w:r>
              <w:rPr>
                <w:rFonts w:cs="Arial"/>
              </w:rPr>
              <w:t xml:space="preserve">, </w:t>
            </w:r>
            <w:r w:rsidR="008D01D6">
              <w:rPr>
                <w:rFonts w:cs="Arial"/>
              </w:rPr>
              <w:t>Managing Director,</w:t>
            </w:r>
            <w:r>
              <w:rPr>
                <w:rFonts w:cs="Arial"/>
              </w:rPr>
              <w:t xml:space="preserve"> Harrow Borough Based Partnership</w:t>
            </w:r>
          </w:p>
        </w:tc>
      </w:tr>
      <w:tr w:rsidR="009B6FD7" w14:paraId="6493B79F" w14:textId="77777777" w:rsidTr="00DB6D88">
        <w:tc>
          <w:tcPr>
            <w:tcW w:w="3456" w:type="dxa"/>
          </w:tcPr>
          <w:p w14:paraId="42DC61A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1B9C5A02" w14:textId="77777777" w:rsidR="009B6FD7" w:rsidRPr="00F92398" w:rsidRDefault="009B6FD7" w:rsidP="00DB6D88">
            <w:pPr>
              <w:pStyle w:val="Infotext"/>
              <w:rPr>
                <w:rFonts w:ascii="Arial Black" w:hAnsi="Arial Black" w:cs="Arial"/>
              </w:rPr>
            </w:pPr>
          </w:p>
        </w:tc>
        <w:tc>
          <w:tcPr>
            <w:tcW w:w="5054" w:type="dxa"/>
          </w:tcPr>
          <w:p w14:paraId="5835B3A0" w14:textId="77777777" w:rsidR="00045B61" w:rsidRDefault="009B6FD7" w:rsidP="00045B61">
            <w:pPr>
              <w:pStyle w:val="Infotext"/>
              <w:rPr>
                <w:rFonts w:cs="Arial"/>
              </w:rPr>
            </w:pPr>
            <w:r>
              <w:rPr>
                <w:rFonts w:cs="Arial"/>
              </w:rPr>
              <w:t xml:space="preserve">Yes </w:t>
            </w:r>
          </w:p>
          <w:p w14:paraId="1F38E41C" w14:textId="77777777" w:rsidR="009B6FD7" w:rsidRDefault="009B6FD7" w:rsidP="009B6FD7">
            <w:pPr>
              <w:pStyle w:val="Infotext"/>
              <w:rPr>
                <w:rFonts w:cs="Arial"/>
              </w:rPr>
            </w:pPr>
          </w:p>
        </w:tc>
      </w:tr>
      <w:tr w:rsidR="009B6FD7" w14:paraId="1169F256" w14:textId="77777777" w:rsidTr="00DB6D88">
        <w:tc>
          <w:tcPr>
            <w:tcW w:w="3456" w:type="dxa"/>
          </w:tcPr>
          <w:p w14:paraId="11F84A79" w14:textId="77777777" w:rsidR="009B6FD7" w:rsidRDefault="009B6FD7" w:rsidP="00DB6D88">
            <w:pPr>
              <w:pStyle w:val="Infotext"/>
              <w:rPr>
                <w:rFonts w:ascii="Arial Black" w:hAnsi="Arial Black" w:cs="Arial"/>
              </w:rPr>
            </w:pPr>
            <w:r>
              <w:rPr>
                <w:rFonts w:ascii="Arial Black" w:hAnsi="Arial Black" w:cs="Arial"/>
              </w:rPr>
              <w:t>Wards affected:</w:t>
            </w:r>
          </w:p>
          <w:p w14:paraId="7D4DB329" w14:textId="77777777" w:rsidR="009B6FD7" w:rsidRPr="00F92398" w:rsidRDefault="009B6FD7" w:rsidP="00DB6D88">
            <w:pPr>
              <w:pStyle w:val="Infotext"/>
              <w:rPr>
                <w:rFonts w:ascii="Arial Black" w:hAnsi="Arial Black" w:cs="Arial"/>
              </w:rPr>
            </w:pPr>
          </w:p>
        </w:tc>
        <w:tc>
          <w:tcPr>
            <w:tcW w:w="5054" w:type="dxa"/>
          </w:tcPr>
          <w:p w14:paraId="28DF165F" w14:textId="77777777" w:rsidR="009B6FD7" w:rsidRDefault="00045B61" w:rsidP="00DB6D88">
            <w:pPr>
              <w:pStyle w:val="Infotext"/>
            </w:pPr>
            <w:r>
              <w:rPr>
                <w:rFonts w:cs="Arial"/>
                <w:szCs w:val="24"/>
              </w:rPr>
              <w:t>All</w:t>
            </w:r>
          </w:p>
        </w:tc>
      </w:tr>
      <w:tr w:rsidR="009B6FD7" w14:paraId="13AD5EEA" w14:textId="77777777" w:rsidTr="00DB6D88">
        <w:tc>
          <w:tcPr>
            <w:tcW w:w="3456" w:type="dxa"/>
          </w:tcPr>
          <w:p w14:paraId="28828D15" w14:textId="77777777" w:rsidR="009B6FD7" w:rsidRPr="00F92398" w:rsidRDefault="009B6FD7" w:rsidP="00DB6D88">
            <w:pPr>
              <w:pStyle w:val="Infotext"/>
              <w:rPr>
                <w:rFonts w:ascii="Arial Black" w:hAnsi="Arial Black" w:cs="Arial"/>
              </w:rPr>
            </w:pPr>
          </w:p>
          <w:p w14:paraId="336B2F2E"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31FDB54E" w14:textId="77777777" w:rsidR="009B6FD7" w:rsidRPr="00F92398" w:rsidRDefault="009B6FD7" w:rsidP="00DB6D88">
            <w:pPr>
              <w:pStyle w:val="Infotext"/>
              <w:rPr>
                <w:rFonts w:ascii="Arial Black" w:hAnsi="Arial Black" w:cs="Arial"/>
              </w:rPr>
            </w:pPr>
          </w:p>
        </w:tc>
        <w:tc>
          <w:tcPr>
            <w:tcW w:w="5054" w:type="dxa"/>
          </w:tcPr>
          <w:p w14:paraId="6D2130A6" w14:textId="77777777" w:rsidR="009B6FD7" w:rsidRDefault="009B6FD7" w:rsidP="00DB6D88">
            <w:pPr>
              <w:pStyle w:val="Infotext"/>
            </w:pPr>
          </w:p>
          <w:p w14:paraId="28E826A0" w14:textId="77777777" w:rsidR="00AF2DA4" w:rsidRDefault="00AF2DA4" w:rsidP="00AF2DA4">
            <w:pPr>
              <w:pStyle w:val="Infotext"/>
              <w:rPr>
                <w:rFonts w:cs="Arial"/>
                <w:sz w:val="24"/>
              </w:rPr>
            </w:pPr>
            <w:r>
              <w:rPr>
                <w:rFonts w:cs="Arial"/>
                <w:sz w:val="24"/>
              </w:rPr>
              <w:t>Appendix A: Winter System Pressures Metrics</w:t>
            </w:r>
          </w:p>
          <w:p w14:paraId="03B3D75E" w14:textId="77777777" w:rsidR="00AF2DA4" w:rsidRDefault="00AF2DA4" w:rsidP="00AF2DA4">
            <w:pPr>
              <w:pStyle w:val="Infotext"/>
              <w:rPr>
                <w:rFonts w:cs="Arial"/>
                <w:sz w:val="24"/>
              </w:rPr>
            </w:pPr>
          </w:p>
          <w:p w14:paraId="6D1E9EBD" w14:textId="6828E3B0" w:rsidR="00AF2DA4" w:rsidRDefault="00AF2DA4" w:rsidP="00AF2DA4">
            <w:pPr>
              <w:pStyle w:val="Infotext"/>
              <w:rPr>
                <w:rFonts w:cs="Arial"/>
                <w:sz w:val="24"/>
              </w:rPr>
            </w:pPr>
            <w:r>
              <w:rPr>
                <w:rFonts w:cs="Arial"/>
                <w:sz w:val="24"/>
              </w:rPr>
              <w:t>Appendix B: Harrow Borough Based Partnership winter plan</w:t>
            </w:r>
          </w:p>
          <w:p w14:paraId="2D543CCD" w14:textId="4CA31EF9" w:rsidR="009B6FD7" w:rsidRDefault="009B6FD7" w:rsidP="00DB6D88">
            <w:pPr>
              <w:pStyle w:val="Infotext"/>
            </w:pPr>
          </w:p>
        </w:tc>
      </w:tr>
    </w:tbl>
    <w:p w14:paraId="7D1EF3B2"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409114DC" w14:textId="77777777" w:rsidTr="00DB6D88">
        <w:trPr>
          <w:tblHeader/>
        </w:trPr>
        <w:tc>
          <w:tcPr>
            <w:tcW w:w="8525" w:type="dxa"/>
            <w:tcBorders>
              <w:top w:val="nil"/>
              <w:left w:val="nil"/>
              <w:bottom w:val="single" w:sz="4" w:space="0" w:color="auto"/>
              <w:right w:val="nil"/>
            </w:tcBorders>
          </w:tcPr>
          <w:p w14:paraId="2777F8D0" w14:textId="77777777" w:rsidR="001976BF" w:rsidRDefault="001976BF" w:rsidP="00DB6D88">
            <w:pPr>
              <w:pStyle w:val="Heading2"/>
              <w:spacing w:before="240"/>
            </w:pPr>
            <w:r>
              <w:t>Section 1 – Summary and Recommendations</w:t>
            </w:r>
          </w:p>
        </w:tc>
      </w:tr>
      <w:tr w:rsidR="001976BF" w14:paraId="7947026B" w14:textId="77777777" w:rsidTr="00DB6D88">
        <w:trPr>
          <w:tblHeader/>
        </w:trPr>
        <w:tc>
          <w:tcPr>
            <w:tcW w:w="8525" w:type="dxa"/>
            <w:tcBorders>
              <w:left w:val="nil"/>
              <w:bottom w:val="nil"/>
              <w:right w:val="nil"/>
            </w:tcBorders>
          </w:tcPr>
          <w:p w14:paraId="18DA18D6" w14:textId="77777777" w:rsidR="00045B61" w:rsidRPr="00045B61" w:rsidRDefault="001976BF" w:rsidP="00DB6D88">
            <w:r w:rsidRPr="00045B61">
              <w:t>This report sets out</w:t>
            </w:r>
            <w:r w:rsidR="00045B61" w:rsidRPr="00045B61">
              <w:t xml:space="preserve"> a draft schedule of an expanded set of </w:t>
            </w:r>
            <w:r w:rsidR="009B7337">
              <w:t xml:space="preserve">system pressures metrics </w:t>
            </w:r>
            <w:r w:rsidR="00045B61" w:rsidRPr="00045B61">
              <w:t>that are designed to i</w:t>
            </w:r>
            <w:r w:rsidR="009B7337">
              <w:t>ndicate</w:t>
            </w:r>
            <w:r w:rsidR="00045B61" w:rsidRPr="00045B61">
              <w:t>:</w:t>
            </w:r>
          </w:p>
          <w:p w14:paraId="01F78637" w14:textId="77777777" w:rsidR="00045B61" w:rsidRPr="00045B61" w:rsidRDefault="00045B61" w:rsidP="00045B61">
            <w:pPr>
              <w:pStyle w:val="ListParagraph"/>
              <w:numPr>
                <w:ilvl w:val="0"/>
                <w:numId w:val="19"/>
              </w:numPr>
            </w:pPr>
            <w:r w:rsidRPr="00045B61">
              <w:t>Demand pressure on the Harrow health and care system;</w:t>
            </w:r>
          </w:p>
          <w:p w14:paraId="0FE48F80" w14:textId="77777777" w:rsidR="001976BF" w:rsidRPr="00045B61" w:rsidRDefault="00045B61" w:rsidP="00045B61">
            <w:pPr>
              <w:pStyle w:val="ListParagraph"/>
              <w:numPr>
                <w:ilvl w:val="0"/>
                <w:numId w:val="19"/>
              </w:numPr>
            </w:pPr>
            <w:r w:rsidRPr="00045B61">
              <w:t>The effectiveness of the system’s response to that demand.</w:t>
            </w:r>
          </w:p>
          <w:p w14:paraId="4E61D8B9" w14:textId="77777777" w:rsidR="002B2C46" w:rsidRDefault="002B2C46" w:rsidP="00DB6D88"/>
          <w:p w14:paraId="1AC41D08" w14:textId="77777777" w:rsidR="002B2C46" w:rsidRPr="00045B61" w:rsidRDefault="002B2C46" w:rsidP="00DB6D88">
            <w:r>
              <w:t>The first set of data will be circulated during October, although further work may be required after that date to secure data for some indicators.</w:t>
            </w:r>
          </w:p>
          <w:p w14:paraId="709A7DFE" w14:textId="77777777" w:rsidR="00045B61" w:rsidRDefault="00045B61" w:rsidP="00DB6D88">
            <w:pPr>
              <w:rPr>
                <w:color w:val="0000FF"/>
              </w:rPr>
            </w:pPr>
          </w:p>
          <w:p w14:paraId="71E05B0D"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47120393" w14:textId="77777777" w:rsidR="001976BF" w:rsidRDefault="00045B61" w:rsidP="001976BF">
            <w:r>
              <w:t>The Board is requested to note and comment on the contents of the schedule.</w:t>
            </w:r>
          </w:p>
          <w:p w14:paraId="191FF001" w14:textId="77777777" w:rsidR="001976BF" w:rsidRDefault="001976BF" w:rsidP="00045B61">
            <w:r>
              <w:t xml:space="preserve"> </w:t>
            </w:r>
          </w:p>
        </w:tc>
      </w:tr>
    </w:tbl>
    <w:p w14:paraId="3434BB95" w14:textId="77777777" w:rsidR="002B2C46" w:rsidRDefault="002B2C46" w:rsidP="009B6FD7">
      <w:pPr>
        <w:pStyle w:val="Heading2"/>
      </w:pPr>
    </w:p>
    <w:p w14:paraId="660D0E94" w14:textId="77777777" w:rsidR="009B6FD7" w:rsidRDefault="009B6FD7" w:rsidP="009B6FD7">
      <w:pPr>
        <w:pStyle w:val="Heading2"/>
      </w:pPr>
      <w:r>
        <w:t>Section 2 – Report</w:t>
      </w:r>
    </w:p>
    <w:p w14:paraId="1DF54099" w14:textId="77777777" w:rsidR="002B2C46" w:rsidRDefault="00045B61" w:rsidP="006C6152">
      <w:pPr>
        <w:jc w:val="both"/>
      </w:pPr>
      <w:r w:rsidRPr="00D85AA8">
        <w:t xml:space="preserve">The Harrow Borough Based Partnership </w:t>
      </w:r>
      <w:r w:rsidR="006C6152">
        <w:t xml:space="preserve">currently discusses </w:t>
      </w:r>
      <w:r w:rsidR="002B2C46">
        <w:t xml:space="preserve">a </w:t>
      </w:r>
      <w:r w:rsidRPr="00D85AA8">
        <w:t>set of indicators of demand pressure on the</w:t>
      </w:r>
      <w:r w:rsidR="002B2C46">
        <w:t xml:space="preserve"> local</w:t>
      </w:r>
      <w:r w:rsidRPr="00D85AA8">
        <w:t xml:space="preserve"> health and care system</w:t>
      </w:r>
      <w:r w:rsidR="006C6152">
        <w:t xml:space="preserve"> at its fortnightly meetings.</w:t>
      </w:r>
    </w:p>
    <w:p w14:paraId="64BBF895" w14:textId="77777777" w:rsidR="006C6152" w:rsidRDefault="006C6152" w:rsidP="006C6152">
      <w:pPr>
        <w:spacing w:before="240"/>
        <w:jc w:val="both"/>
      </w:pPr>
      <w:r w:rsidRPr="002B2C46">
        <w:t>The</w:t>
      </w:r>
      <w:r>
        <w:t xml:space="preserve"> </w:t>
      </w:r>
      <w:r w:rsidRPr="002B2C46">
        <w:t>s</w:t>
      </w:r>
      <w:r>
        <w:t>cop</w:t>
      </w:r>
      <w:r w:rsidRPr="002B2C46">
        <w:t xml:space="preserve">e </w:t>
      </w:r>
      <w:r>
        <w:t xml:space="preserve">of these </w:t>
      </w:r>
      <w:r w:rsidRPr="002B2C46">
        <w:t xml:space="preserve">indicators </w:t>
      </w:r>
      <w:r>
        <w:t xml:space="preserve">is </w:t>
      </w:r>
      <w:r w:rsidRPr="002B2C46">
        <w:t>limited and largely reflect</w:t>
      </w:r>
      <w:r>
        <w:t>s</w:t>
      </w:r>
      <w:r w:rsidRPr="002B2C46">
        <w:t xml:space="preserve"> pressure on hospital based </w:t>
      </w:r>
      <w:r>
        <w:t xml:space="preserve">health </w:t>
      </w:r>
      <w:r w:rsidRPr="002B2C46">
        <w:t>services.</w:t>
      </w:r>
    </w:p>
    <w:p w14:paraId="54A3B890" w14:textId="3562EF8F" w:rsidR="006C6152" w:rsidRDefault="006C6152" w:rsidP="002E265A">
      <w:pPr>
        <w:spacing w:before="240"/>
        <w:jc w:val="both"/>
      </w:pPr>
      <w:r>
        <w:t xml:space="preserve">The Partnership’s 2023/24 winter planning has included the development of an expanded list of </w:t>
      </w:r>
      <w:r w:rsidR="009B7337">
        <w:t xml:space="preserve">metrics </w:t>
      </w:r>
      <w:r>
        <w:t>that will inform the system’s response to in</w:t>
      </w:r>
      <w:r w:rsidRPr="002B2C46">
        <w:t xml:space="preserve">creased </w:t>
      </w:r>
      <w:r>
        <w:t>demand during the winter period.</w:t>
      </w:r>
      <w:r w:rsidR="002E265A">
        <w:t xml:space="preserve">  </w:t>
      </w:r>
      <w:r>
        <w:t>Most of these indicators will be reported weekly or monthly, depending on the frequency with which the data is reported.</w:t>
      </w:r>
    </w:p>
    <w:p w14:paraId="27EC3ECF" w14:textId="77777777" w:rsidR="006C6152" w:rsidRDefault="006C6152" w:rsidP="006C6152">
      <w:pPr>
        <w:jc w:val="both"/>
      </w:pPr>
    </w:p>
    <w:p w14:paraId="2D326484" w14:textId="77777777" w:rsidR="001976BF" w:rsidRPr="00D85AA8" w:rsidRDefault="002B2C46" w:rsidP="006C6152">
      <w:pPr>
        <w:jc w:val="both"/>
      </w:pPr>
      <w:r>
        <w:t>Th</w:t>
      </w:r>
      <w:r w:rsidR="006C6152">
        <w:t xml:space="preserve">e report will be </w:t>
      </w:r>
      <w:r>
        <w:t xml:space="preserve">used </w:t>
      </w:r>
      <w:r w:rsidR="00045B61" w:rsidRPr="00D85AA8">
        <w:t xml:space="preserve">to inform discussions </w:t>
      </w:r>
      <w:r>
        <w:t>at</w:t>
      </w:r>
      <w:r w:rsidRPr="00D85AA8">
        <w:t xml:space="preserve"> the Harrow Health and Care Executive </w:t>
      </w:r>
      <w:r w:rsidR="00045B61" w:rsidRPr="00D85AA8">
        <w:t xml:space="preserve">of </w:t>
      </w:r>
      <w:r>
        <w:t xml:space="preserve">necessary </w:t>
      </w:r>
      <w:r w:rsidR="00045B61" w:rsidRPr="00D85AA8">
        <w:t>mitigati</w:t>
      </w:r>
      <w:r>
        <w:t>o</w:t>
      </w:r>
      <w:r w:rsidR="00045B61" w:rsidRPr="00D85AA8">
        <w:t>n</w:t>
      </w:r>
      <w:r>
        <w:t xml:space="preserve">s when services are under high levels of pressure and </w:t>
      </w:r>
      <w:r w:rsidR="006C6152">
        <w:t xml:space="preserve">of </w:t>
      </w:r>
      <w:r w:rsidRPr="00D85AA8">
        <w:t>potential service improvements</w:t>
      </w:r>
      <w:r w:rsidR="00045B61" w:rsidRPr="00D85AA8">
        <w:t>.</w:t>
      </w:r>
    </w:p>
    <w:p w14:paraId="0146E337" w14:textId="77777777" w:rsidR="002B2C46" w:rsidRDefault="002B2C46" w:rsidP="006C6152">
      <w:pPr>
        <w:spacing w:before="240"/>
        <w:jc w:val="both"/>
      </w:pPr>
      <w:r>
        <w:t>The</w:t>
      </w:r>
      <w:r w:rsidR="009E263A">
        <w:t>se</w:t>
      </w:r>
      <w:r>
        <w:t xml:space="preserve"> indicators</w:t>
      </w:r>
      <w:r w:rsidR="009E263A">
        <w:t xml:space="preserve"> seek to illustrate the following aspects of the state of the system:</w:t>
      </w:r>
      <w:r>
        <w:t xml:space="preserve"> </w:t>
      </w:r>
    </w:p>
    <w:p w14:paraId="17875E7E" w14:textId="77777777" w:rsidR="002B2C46" w:rsidRDefault="002B2C46" w:rsidP="006C6152">
      <w:pPr>
        <w:pStyle w:val="ListParagraph"/>
        <w:numPr>
          <w:ilvl w:val="0"/>
          <w:numId w:val="20"/>
        </w:numPr>
        <w:ind w:left="426" w:hanging="426"/>
        <w:jc w:val="both"/>
      </w:pPr>
      <w:r>
        <w:t>Success of Prevention Measures</w:t>
      </w:r>
      <w:r w:rsidR="009E263A">
        <w:t xml:space="preserve"> </w:t>
      </w:r>
      <w:proofErr w:type="spellStart"/>
      <w:r w:rsidR="009E263A">
        <w:t>eg</w:t>
      </w:r>
      <w:proofErr w:type="spellEnd"/>
      <w:r w:rsidR="009E263A">
        <w:t xml:space="preserve"> vaccinations; Winter Wellness MECC training.</w:t>
      </w:r>
    </w:p>
    <w:p w14:paraId="3F40D361" w14:textId="77777777" w:rsidR="006C6152" w:rsidRDefault="006C6152" w:rsidP="006C6152">
      <w:pPr>
        <w:pStyle w:val="ListParagraph"/>
        <w:ind w:left="426"/>
        <w:jc w:val="both"/>
      </w:pPr>
    </w:p>
    <w:p w14:paraId="34F9F9C8" w14:textId="2C9AA2BD" w:rsidR="002B2C46" w:rsidRDefault="002B2C46" w:rsidP="006C6152">
      <w:pPr>
        <w:pStyle w:val="ListParagraph"/>
        <w:numPr>
          <w:ilvl w:val="0"/>
          <w:numId w:val="20"/>
        </w:numPr>
        <w:ind w:left="426" w:hanging="426"/>
        <w:jc w:val="both"/>
      </w:pPr>
      <w:r>
        <w:t>Demand Pressure</w:t>
      </w:r>
      <w:r w:rsidR="009E263A">
        <w:t xml:space="preserve"> </w:t>
      </w:r>
      <w:r w:rsidR="002E265A">
        <w:t>e.g.,</w:t>
      </w:r>
      <w:r w:rsidR="009E263A">
        <w:t xml:space="preserve"> discharges to social care; A&amp;E attendances; referrals to community health</w:t>
      </w:r>
      <w:r w:rsidR="006C6152">
        <w:t>.</w:t>
      </w:r>
    </w:p>
    <w:p w14:paraId="74F03F07" w14:textId="77777777" w:rsidR="006C6152" w:rsidRDefault="006C6152" w:rsidP="006C6152">
      <w:pPr>
        <w:pStyle w:val="ListParagraph"/>
      </w:pPr>
    </w:p>
    <w:p w14:paraId="3FAED36C" w14:textId="17F6F86E" w:rsidR="009E263A" w:rsidRDefault="009E263A" w:rsidP="006C6152">
      <w:pPr>
        <w:pStyle w:val="ListParagraph"/>
        <w:numPr>
          <w:ilvl w:val="0"/>
          <w:numId w:val="20"/>
        </w:numPr>
        <w:ind w:left="426" w:hanging="426"/>
        <w:jc w:val="both"/>
      </w:pPr>
      <w:r>
        <w:t xml:space="preserve">Pathway Efficiency </w:t>
      </w:r>
      <w:r w:rsidR="002E265A">
        <w:t>e.g.</w:t>
      </w:r>
      <w:r>
        <w:t xml:space="preserve"> Delayed discharges from hospital</w:t>
      </w:r>
    </w:p>
    <w:p w14:paraId="30F1B505" w14:textId="77777777" w:rsidR="006C6152" w:rsidRDefault="006C6152" w:rsidP="006C6152">
      <w:pPr>
        <w:pStyle w:val="ListParagraph"/>
        <w:ind w:left="426"/>
        <w:jc w:val="both"/>
      </w:pPr>
    </w:p>
    <w:p w14:paraId="43BA520A" w14:textId="019CEC92" w:rsidR="009E263A" w:rsidRDefault="009E263A" w:rsidP="006C6152">
      <w:pPr>
        <w:pStyle w:val="ListParagraph"/>
        <w:numPr>
          <w:ilvl w:val="0"/>
          <w:numId w:val="20"/>
        </w:numPr>
        <w:ind w:left="426" w:hanging="426"/>
        <w:jc w:val="both"/>
      </w:pPr>
      <w:r>
        <w:t xml:space="preserve">Pathway Improvement </w:t>
      </w:r>
      <w:r w:rsidR="002E265A">
        <w:t>e.g.</w:t>
      </w:r>
      <w:r>
        <w:t xml:space="preserve"> Interface between GPs and the hospital</w:t>
      </w:r>
    </w:p>
    <w:p w14:paraId="5DEA1F93" w14:textId="77777777" w:rsidR="006C6152" w:rsidRDefault="006C6152" w:rsidP="006C6152">
      <w:pPr>
        <w:pStyle w:val="ListParagraph"/>
        <w:ind w:left="426"/>
        <w:jc w:val="both"/>
      </w:pPr>
    </w:p>
    <w:p w14:paraId="79CA315A" w14:textId="663079A3" w:rsidR="009E263A" w:rsidRDefault="009E263A" w:rsidP="006C6152">
      <w:pPr>
        <w:pStyle w:val="ListParagraph"/>
        <w:numPr>
          <w:ilvl w:val="0"/>
          <w:numId w:val="20"/>
        </w:numPr>
        <w:ind w:left="426" w:hanging="426"/>
        <w:jc w:val="both"/>
      </w:pPr>
      <w:r>
        <w:t xml:space="preserve">Utilisation of Community Resources </w:t>
      </w:r>
      <w:r w:rsidR="002E265A">
        <w:t>e.g.,</w:t>
      </w:r>
      <w:r>
        <w:t xml:space="preserve"> Use of community rehab beds</w:t>
      </w:r>
    </w:p>
    <w:p w14:paraId="5CD43990" w14:textId="77777777" w:rsidR="006C6152" w:rsidRDefault="006C6152" w:rsidP="006C6152">
      <w:pPr>
        <w:pStyle w:val="ListParagraph"/>
        <w:ind w:left="426"/>
        <w:jc w:val="both"/>
      </w:pPr>
    </w:p>
    <w:p w14:paraId="2BB8142B" w14:textId="56FFA697" w:rsidR="00565C44" w:rsidRPr="002E265A" w:rsidRDefault="009E263A" w:rsidP="002E265A">
      <w:pPr>
        <w:pStyle w:val="ListParagraph"/>
        <w:numPr>
          <w:ilvl w:val="0"/>
          <w:numId w:val="20"/>
        </w:numPr>
        <w:ind w:left="426" w:hanging="426"/>
        <w:jc w:val="both"/>
        <w:rPr>
          <w:rFonts w:ascii="Arial Bold" w:hAnsi="Arial Bold"/>
          <w:b/>
        </w:rPr>
      </w:pPr>
      <w:r>
        <w:t>System Stress</w:t>
      </w:r>
      <w:r w:rsidR="00565C44">
        <w:t xml:space="preserve"> </w:t>
      </w:r>
      <w:r w:rsidR="002E265A">
        <w:t>i.e.</w:t>
      </w:r>
      <w:r w:rsidR="00565C44">
        <w:t xml:space="preserve"> indications that the effectiveness of part or parts of the system has deteriorated.</w:t>
      </w:r>
    </w:p>
    <w:p w14:paraId="22627B58" w14:textId="77777777" w:rsidR="002E265A" w:rsidRPr="002E265A" w:rsidRDefault="002E265A" w:rsidP="002E265A">
      <w:pPr>
        <w:pStyle w:val="ListParagraph"/>
        <w:rPr>
          <w:rFonts w:ascii="Arial Bold" w:hAnsi="Arial Bold"/>
          <w:b/>
        </w:rPr>
      </w:pPr>
    </w:p>
    <w:p w14:paraId="28A6CF11" w14:textId="052D77C0" w:rsidR="002E265A" w:rsidRDefault="002E265A" w:rsidP="002E265A">
      <w:pPr>
        <w:jc w:val="both"/>
        <w:rPr>
          <w:rFonts w:cs="Arial"/>
          <w:bCs/>
        </w:rPr>
      </w:pPr>
      <w:r>
        <w:rPr>
          <w:rFonts w:cs="Arial"/>
          <w:bCs/>
        </w:rPr>
        <w:t xml:space="preserve">The set of measures are attached to this report as Appendix A and will be populated as an up to date system position and shared </w:t>
      </w:r>
      <w:r w:rsidR="00555217">
        <w:rPr>
          <w:rFonts w:cs="Arial"/>
          <w:bCs/>
        </w:rPr>
        <w:t>5</w:t>
      </w:r>
      <w:r>
        <w:rPr>
          <w:rFonts w:cs="Arial"/>
          <w:bCs/>
        </w:rPr>
        <w:t xml:space="preserve"> days in advance of the Health and Wellbeing Board meeting.</w:t>
      </w:r>
    </w:p>
    <w:p w14:paraId="7674FE32" w14:textId="0148B0E4" w:rsidR="002E265A" w:rsidRDefault="002E265A" w:rsidP="002E265A">
      <w:pPr>
        <w:jc w:val="both"/>
        <w:rPr>
          <w:rFonts w:cs="Arial"/>
          <w:bCs/>
        </w:rPr>
      </w:pPr>
    </w:p>
    <w:p w14:paraId="4F59D077" w14:textId="77777777" w:rsidR="00AF2DA4" w:rsidRDefault="00AF2DA4" w:rsidP="00AF2DA4">
      <w:pPr>
        <w:jc w:val="both"/>
        <w:rPr>
          <w:rFonts w:cs="Arial"/>
          <w:bCs/>
        </w:rPr>
      </w:pPr>
      <w:r>
        <w:rPr>
          <w:rFonts w:cs="Arial"/>
          <w:bCs/>
        </w:rPr>
        <w:t>T</w:t>
      </w:r>
      <w:r>
        <w:rPr>
          <w:rFonts w:cs="Arial"/>
          <w:bCs/>
        </w:rPr>
        <w:t>he Harrow Borough Based Partnership winter plan</w:t>
      </w:r>
      <w:r>
        <w:rPr>
          <w:rFonts w:cs="Arial"/>
          <w:bCs/>
        </w:rPr>
        <w:t xml:space="preserve"> is a</w:t>
      </w:r>
      <w:r w:rsidR="002E265A">
        <w:rPr>
          <w:rFonts w:cs="Arial"/>
          <w:bCs/>
        </w:rPr>
        <w:t xml:space="preserve">ttached </w:t>
      </w:r>
      <w:r>
        <w:rPr>
          <w:rFonts w:cs="Arial"/>
          <w:bCs/>
        </w:rPr>
        <w:t>for</w:t>
      </w:r>
      <w:r w:rsidR="002E265A">
        <w:rPr>
          <w:rFonts w:cs="Arial"/>
          <w:bCs/>
        </w:rPr>
        <w:t xml:space="preserve"> reference in Appendix </w:t>
      </w:r>
      <w:r>
        <w:rPr>
          <w:rFonts w:cs="Arial"/>
          <w:bCs/>
        </w:rPr>
        <w:t>B.</w:t>
      </w:r>
    </w:p>
    <w:p w14:paraId="4D7A5BC6" w14:textId="77777777" w:rsidR="00AF2DA4" w:rsidRDefault="00AF2DA4" w:rsidP="00AF2DA4">
      <w:pPr>
        <w:jc w:val="both"/>
        <w:rPr>
          <w:rFonts w:cs="Arial"/>
          <w:bCs/>
        </w:rPr>
      </w:pPr>
    </w:p>
    <w:p w14:paraId="58FFB6B6" w14:textId="77777777" w:rsidR="00AF2DA4" w:rsidRDefault="00AF2DA4" w:rsidP="00AF2DA4">
      <w:pPr>
        <w:jc w:val="both"/>
        <w:rPr>
          <w:rFonts w:cs="Arial"/>
          <w:bCs/>
        </w:rPr>
      </w:pPr>
    </w:p>
    <w:p w14:paraId="62D3028B" w14:textId="77777777" w:rsidR="00AF2DA4" w:rsidRDefault="00AF2DA4" w:rsidP="00AF2DA4">
      <w:pPr>
        <w:jc w:val="both"/>
        <w:rPr>
          <w:rFonts w:cs="Arial"/>
          <w:bCs/>
        </w:rPr>
      </w:pPr>
    </w:p>
    <w:p w14:paraId="56BA811C" w14:textId="77777777" w:rsidR="00AF2DA4" w:rsidRDefault="00AF2DA4" w:rsidP="00AF2DA4">
      <w:pPr>
        <w:jc w:val="both"/>
        <w:rPr>
          <w:rFonts w:cs="Arial"/>
          <w:bCs/>
        </w:rPr>
      </w:pPr>
    </w:p>
    <w:p w14:paraId="0014D0E1" w14:textId="77777777" w:rsidR="00AF2DA4" w:rsidRDefault="00AF2DA4" w:rsidP="00AF2DA4">
      <w:pPr>
        <w:jc w:val="both"/>
        <w:rPr>
          <w:rFonts w:cs="Arial"/>
          <w:bCs/>
        </w:rPr>
      </w:pPr>
    </w:p>
    <w:p w14:paraId="5CB6BD85" w14:textId="4BF7E4E4" w:rsidR="002E265A" w:rsidRPr="002E265A" w:rsidRDefault="002E265A" w:rsidP="00AF2DA4">
      <w:pPr>
        <w:jc w:val="both"/>
        <w:rPr>
          <w:rFonts w:cs="Arial"/>
          <w:bCs/>
        </w:rPr>
      </w:pPr>
      <w:r>
        <w:rPr>
          <w:rFonts w:cs="Arial"/>
          <w:bCs/>
        </w:rPr>
        <w:t xml:space="preserve"> </w:t>
      </w:r>
    </w:p>
    <w:p w14:paraId="5E69861B" w14:textId="77777777" w:rsidR="002E265A" w:rsidRPr="002E265A" w:rsidRDefault="002E265A" w:rsidP="002E265A">
      <w:pPr>
        <w:jc w:val="both"/>
        <w:rPr>
          <w:rFonts w:ascii="Arial Bold" w:hAnsi="Arial Bold"/>
          <w:b/>
        </w:rPr>
      </w:pPr>
    </w:p>
    <w:p w14:paraId="4FEA7AC7" w14:textId="77777777" w:rsidR="001976BF" w:rsidRDefault="00565C44" w:rsidP="00565C44">
      <w:pPr>
        <w:pStyle w:val="ListParagraph"/>
        <w:ind w:left="426"/>
        <w:jc w:val="both"/>
        <w:rPr>
          <w:rFonts w:ascii="Arial Bold" w:hAnsi="Arial Bold"/>
          <w:b/>
        </w:rPr>
      </w:pPr>
      <w:r>
        <w:rPr>
          <w:rFonts w:ascii="Arial Bold" w:hAnsi="Arial Bold"/>
          <w:b/>
        </w:rPr>
        <w:t xml:space="preserve"> </w:t>
      </w:r>
    </w:p>
    <w:p w14:paraId="7175173B" w14:textId="068D49D1" w:rsidR="001976BF" w:rsidRDefault="001976BF" w:rsidP="001976BF">
      <w:pPr>
        <w:rPr>
          <w:rFonts w:ascii="Arial Bold" w:hAnsi="Arial Bold"/>
          <w:b/>
          <w:sz w:val="28"/>
        </w:rPr>
      </w:pPr>
      <w:r w:rsidRPr="001976BF">
        <w:rPr>
          <w:rFonts w:ascii="Arial Bold" w:hAnsi="Arial Bold"/>
          <w:b/>
          <w:sz w:val="28"/>
        </w:rPr>
        <w:lastRenderedPageBreak/>
        <w:t>Ward Councillors’ comments</w:t>
      </w:r>
      <w:r w:rsidR="00AF2DA4">
        <w:rPr>
          <w:rFonts w:ascii="Arial Bold" w:hAnsi="Arial Bold"/>
          <w:b/>
          <w:sz w:val="28"/>
        </w:rPr>
        <w:t xml:space="preserve"> N/A</w:t>
      </w:r>
    </w:p>
    <w:p w14:paraId="322B1C9D" w14:textId="7C22E581" w:rsidR="006C4566" w:rsidRDefault="00AF2DA4" w:rsidP="00FF4BB9">
      <w:pPr>
        <w:pStyle w:val="Heading3"/>
      </w:pPr>
      <w:r>
        <w:t>F</w:t>
      </w:r>
      <w:r w:rsidR="002A2389">
        <w:t>inancial Implications</w:t>
      </w:r>
      <w:r w:rsidR="00BE1C78">
        <w:t xml:space="preserve">/Comments </w:t>
      </w:r>
    </w:p>
    <w:p w14:paraId="130116C8" w14:textId="7E76E48E" w:rsidR="00164102" w:rsidRPr="006C4566" w:rsidRDefault="00404600" w:rsidP="00FF4BB9">
      <w:pPr>
        <w:pStyle w:val="Heading3"/>
        <w:rPr>
          <w:rFonts w:ascii="Arial" w:hAnsi="Arial"/>
          <w:color w:val="000000" w:themeColor="text1"/>
          <w:sz w:val="24"/>
          <w:szCs w:val="24"/>
        </w:rPr>
      </w:pPr>
      <w:r w:rsidRPr="006C4566">
        <w:rPr>
          <w:rFonts w:ascii="Arial" w:hAnsi="Arial"/>
          <w:color w:val="000000" w:themeColor="text1"/>
          <w:sz w:val="24"/>
          <w:szCs w:val="24"/>
        </w:rPr>
        <w:t>Whilst this report does not have any direct financial implications, the increased support is funded through targeted allocations (such as the winter pressures funding allocated through the BCF) with the metrics helping to ensure scarce organisational resources are being targeted to maximise value for money and achieve system outputs.  The use of these metrics may, in time, support targeting of any additional resource allocations and consideration of wider system budget requirements as part of the annual budget setting process for partner organisations</w:t>
      </w:r>
    </w:p>
    <w:p w14:paraId="52E69610" w14:textId="7CF66156" w:rsidR="001417FD" w:rsidRDefault="001417FD" w:rsidP="00FF4BB9">
      <w:pPr>
        <w:pStyle w:val="Heading3"/>
      </w:pPr>
      <w:r w:rsidRPr="001417FD">
        <w:t xml:space="preserve">Legal Implications/Comments </w:t>
      </w:r>
    </w:p>
    <w:p w14:paraId="7317B4F5" w14:textId="5F0E8F7A" w:rsidR="001417FD" w:rsidRPr="001727A8" w:rsidRDefault="001727A8" w:rsidP="0084413D">
      <w:pPr>
        <w:rPr>
          <w:rFonts w:cs="Arial"/>
          <w:color w:val="000000"/>
          <w:szCs w:val="24"/>
          <w:lang w:eastAsia="en-GB"/>
        </w:rPr>
      </w:pPr>
      <w:r w:rsidRPr="001727A8">
        <w:rPr>
          <w:rFonts w:cs="Arial"/>
          <w:color w:val="000000"/>
          <w:szCs w:val="24"/>
        </w:rPr>
        <w:t>Terms of reference for the Health and Wellbeing Board include:</w:t>
      </w:r>
      <w:r w:rsidRPr="001727A8">
        <w:rPr>
          <w:rFonts w:cs="Arial"/>
          <w:color w:val="000000"/>
          <w:szCs w:val="24"/>
        </w:rPr>
        <w:br/>
      </w:r>
      <w:r w:rsidRPr="001727A8">
        <w:rPr>
          <w:rFonts w:cs="Arial"/>
          <w:color w:val="000000"/>
          <w:szCs w:val="24"/>
          <w:shd w:val="clear" w:color="auto" w:fill="FFFFFF"/>
        </w:rPr>
        <w:t>T</w:t>
      </w:r>
      <w:r w:rsidR="0084413D" w:rsidRPr="001727A8">
        <w:rPr>
          <w:rFonts w:cs="Arial"/>
          <w:color w:val="000000"/>
          <w:szCs w:val="24"/>
          <w:shd w:val="clear" w:color="auto" w:fill="FFFFFF"/>
        </w:rPr>
        <w:t>o promote integration and partnership across areas, including </w:t>
      </w:r>
      <w:r w:rsidR="0084413D" w:rsidRPr="001727A8">
        <w:rPr>
          <w:rFonts w:cs="Arial"/>
          <w:color w:val="000000"/>
          <w:szCs w:val="24"/>
        </w:rPr>
        <w:t>through promoting joined up commissioning plans across NHS, social care and public health</w:t>
      </w:r>
      <w:r w:rsidR="00AF2DA4">
        <w:rPr>
          <w:rFonts w:cs="Arial"/>
          <w:color w:val="000000"/>
          <w:szCs w:val="24"/>
        </w:rPr>
        <w:t>.</w:t>
      </w:r>
    </w:p>
    <w:p w14:paraId="6F861057" w14:textId="77777777" w:rsidR="00C32DAE" w:rsidRDefault="00C32DAE" w:rsidP="00FF4BB9">
      <w:pPr>
        <w:pStyle w:val="Heading3"/>
      </w:pPr>
      <w:r>
        <w:t>Risk Management Implications</w:t>
      </w:r>
    </w:p>
    <w:p w14:paraId="052DC4D5" w14:textId="77777777" w:rsidR="00615340" w:rsidRPr="00615340" w:rsidRDefault="006C6152" w:rsidP="006C6152">
      <w:pPr>
        <w:rPr>
          <w:rFonts w:ascii="Segoe UI" w:hAnsi="Segoe UI" w:cs="Segoe UI"/>
          <w:sz w:val="18"/>
          <w:szCs w:val="18"/>
          <w:lang w:eastAsia="en-GB"/>
        </w:rPr>
      </w:pPr>
      <w:r>
        <w:t>The indicators will support the monitoring of potential risks relating to increased demand for services during the winter period.</w:t>
      </w:r>
    </w:p>
    <w:p w14:paraId="47E4D028"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301271E3" w14:textId="77777777" w:rsidR="00615340" w:rsidRPr="006C6152" w:rsidRDefault="00615340" w:rsidP="00615340">
      <w:pPr>
        <w:ind w:right="75"/>
        <w:textAlignment w:val="baseline"/>
        <w:rPr>
          <w:rFonts w:cs="Arial"/>
          <w:b/>
          <w:bCs/>
          <w:szCs w:val="24"/>
          <w:lang w:val="en-US" w:eastAsia="en-GB"/>
        </w:rPr>
      </w:pPr>
      <w:r w:rsidRPr="00615340">
        <w:rPr>
          <w:rFonts w:cs="Arial"/>
          <w:szCs w:val="24"/>
          <w:lang w:val="en-US" w:eastAsia="en-GB"/>
        </w:rPr>
        <w:t>Risks included on corporate or directorate risk register? </w:t>
      </w:r>
      <w:r w:rsidR="006C6152" w:rsidRPr="00615340">
        <w:rPr>
          <w:rFonts w:cs="Arial"/>
          <w:b/>
          <w:bCs/>
          <w:szCs w:val="24"/>
          <w:lang w:val="en-US" w:eastAsia="en-GB"/>
        </w:rPr>
        <w:t xml:space="preserve"> </w:t>
      </w:r>
      <w:r w:rsidR="006C6152">
        <w:rPr>
          <w:rFonts w:cs="Arial"/>
          <w:b/>
          <w:bCs/>
          <w:szCs w:val="24"/>
          <w:lang w:val="en-US" w:eastAsia="en-GB"/>
        </w:rPr>
        <w:t>N/A</w:t>
      </w:r>
      <w:r w:rsidRPr="00615340">
        <w:rPr>
          <w:rFonts w:cs="Arial"/>
          <w:szCs w:val="24"/>
          <w:lang w:val="en-US" w:eastAsia="en-GB"/>
        </w:rPr>
        <w:t> </w:t>
      </w:r>
      <w:r w:rsidRPr="00615340">
        <w:rPr>
          <w:rFonts w:cs="Arial"/>
          <w:color w:val="0000FF"/>
          <w:szCs w:val="24"/>
          <w:lang w:eastAsia="en-GB"/>
        </w:rPr>
        <w:t> </w:t>
      </w:r>
    </w:p>
    <w:p w14:paraId="4EA7E5C2" w14:textId="77777777" w:rsidR="00615340" w:rsidRPr="00615340" w:rsidRDefault="00615340" w:rsidP="00615340">
      <w:pPr>
        <w:ind w:left="-150" w:right="135"/>
        <w:textAlignment w:val="baseline"/>
        <w:rPr>
          <w:rFonts w:ascii="Segoe UI" w:hAnsi="Segoe UI" w:cs="Segoe UI"/>
          <w:sz w:val="18"/>
          <w:szCs w:val="18"/>
          <w:lang w:eastAsia="en-GB"/>
        </w:rPr>
      </w:pPr>
      <w:r w:rsidRPr="00615340">
        <w:rPr>
          <w:rFonts w:cs="Arial"/>
          <w:szCs w:val="24"/>
          <w:lang w:val="en-US" w:eastAsia="en-GB"/>
        </w:rPr>
        <w:t>  </w:t>
      </w:r>
      <w:r w:rsidRPr="00615340">
        <w:rPr>
          <w:rFonts w:cs="Arial"/>
          <w:szCs w:val="24"/>
          <w:lang w:eastAsia="en-GB"/>
        </w:rPr>
        <w:t> </w:t>
      </w:r>
    </w:p>
    <w:p w14:paraId="1A262A95" w14:textId="77777777" w:rsidR="00615340" w:rsidRPr="00615340" w:rsidRDefault="00615340" w:rsidP="00615340">
      <w:pPr>
        <w:ind w:left="-150" w:right="135" w:firstLine="135"/>
        <w:textAlignment w:val="baseline"/>
        <w:rPr>
          <w:rFonts w:ascii="Segoe UI" w:hAnsi="Segoe UI" w:cs="Segoe UI"/>
          <w:sz w:val="18"/>
          <w:szCs w:val="18"/>
          <w:lang w:eastAsia="en-GB"/>
        </w:rPr>
      </w:pPr>
      <w:r w:rsidRPr="00615340">
        <w:rPr>
          <w:rFonts w:cs="Arial"/>
          <w:szCs w:val="24"/>
          <w:lang w:val="en-US" w:eastAsia="en-GB"/>
        </w:rPr>
        <w:t>Separate risk register in place? </w:t>
      </w:r>
      <w:r w:rsidR="006C6152">
        <w:rPr>
          <w:rFonts w:cs="Arial"/>
          <w:b/>
          <w:bCs/>
          <w:szCs w:val="24"/>
          <w:lang w:val="en-US" w:eastAsia="en-GB"/>
        </w:rPr>
        <w:t>N/A</w:t>
      </w:r>
      <w:r w:rsidR="006C6152" w:rsidRPr="00615340">
        <w:rPr>
          <w:rFonts w:cs="Arial"/>
          <w:szCs w:val="24"/>
          <w:lang w:val="en-US" w:eastAsia="en-GB"/>
        </w:rPr>
        <w:t> </w:t>
      </w:r>
    </w:p>
    <w:p w14:paraId="453C4735"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3484951F" w14:textId="77777777" w:rsidR="00615340" w:rsidRPr="00615340" w:rsidRDefault="00615340" w:rsidP="006C6152">
      <w:pPr>
        <w:ind w:right="75"/>
        <w:textAlignment w:val="baseline"/>
        <w:rPr>
          <w:rFonts w:ascii="Segoe UI" w:hAnsi="Segoe UI" w:cs="Segoe UI"/>
          <w:sz w:val="18"/>
          <w:szCs w:val="18"/>
          <w:lang w:eastAsia="en-GB"/>
        </w:rPr>
      </w:pPr>
      <w:r w:rsidRPr="00615340">
        <w:rPr>
          <w:rFonts w:cs="Arial"/>
          <w:szCs w:val="24"/>
          <w:lang w:eastAsia="en-GB"/>
        </w:rPr>
        <w:t>The relevant risks contained in the register are attached/summarised below. </w:t>
      </w:r>
      <w:r w:rsidR="006C6152">
        <w:rPr>
          <w:rFonts w:cs="Arial"/>
          <w:b/>
          <w:bCs/>
          <w:szCs w:val="24"/>
          <w:lang w:val="en-US" w:eastAsia="en-GB"/>
        </w:rPr>
        <w:t>N/A</w:t>
      </w:r>
      <w:r w:rsidR="006C6152" w:rsidRPr="00615340">
        <w:rPr>
          <w:rFonts w:cs="Arial"/>
          <w:szCs w:val="24"/>
          <w:lang w:val="en-US" w:eastAsia="en-GB"/>
        </w:rPr>
        <w:t> </w:t>
      </w:r>
      <w:r w:rsidRPr="00615340">
        <w:rPr>
          <w:rFonts w:cs="Arial"/>
          <w:szCs w:val="24"/>
          <w:lang w:eastAsia="en-GB"/>
        </w:rPr>
        <w:t> </w:t>
      </w:r>
    </w:p>
    <w:p w14:paraId="5D598A12" w14:textId="77777777" w:rsidR="00615340" w:rsidRPr="00615340" w:rsidRDefault="00615340" w:rsidP="00615340">
      <w:pPr>
        <w:textAlignment w:val="baseline"/>
        <w:rPr>
          <w:rFonts w:ascii="Segoe UI" w:hAnsi="Segoe UI" w:cs="Segoe UI"/>
          <w:sz w:val="18"/>
          <w:szCs w:val="18"/>
          <w:lang w:eastAsia="en-GB"/>
        </w:rPr>
      </w:pPr>
      <w:r w:rsidRPr="00615340">
        <w:rPr>
          <w:rFonts w:cs="Arial"/>
          <w:szCs w:val="24"/>
          <w:lang w:eastAsia="en-GB"/>
        </w:rPr>
        <w:t>The following key risks should be taken into account when agreeing the recommendations in this report: </w:t>
      </w:r>
    </w:p>
    <w:p w14:paraId="4F12BD23" w14:textId="77777777" w:rsidR="00615340" w:rsidRPr="00615340" w:rsidRDefault="00615340" w:rsidP="00615340">
      <w:pPr>
        <w:ind w:left="555" w:right="135" w:hanging="555"/>
        <w:textAlignment w:val="baseline"/>
        <w:rPr>
          <w:rFonts w:ascii="Segoe UI" w:hAnsi="Segoe UI" w:cs="Segoe UI"/>
          <w:sz w:val="18"/>
          <w:szCs w:val="18"/>
          <w:lang w:eastAsia="en-GB"/>
        </w:rPr>
      </w:pPr>
      <w:r w:rsidRPr="00615340">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4"/>
        <w:gridCol w:w="3171"/>
        <w:gridCol w:w="1998"/>
      </w:tblGrid>
      <w:tr w:rsidR="00615340" w:rsidRPr="00615340" w14:paraId="61236E94" w14:textId="77777777" w:rsidTr="008D01D6">
        <w:tc>
          <w:tcPr>
            <w:tcW w:w="3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ED76F"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Risk Description</w:t>
            </w:r>
            <w:r w:rsidRPr="00615340">
              <w:rPr>
                <w:rFonts w:cs="Arial"/>
                <w:szCs w:val="24"/>
                <w:lang w:eastAsia="en-GB"/>
              </w:rPr>
              <w:t> </w:t>
            </w:r>
          </w:p>
        </w:tc>
        <w:tc>
          <w:tcPr>
            <w:tcW w:w="31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B907F"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Mitigations</w:t>
            </w:r>
            <w:r w:rsidRPr="00615340">
              <w:rPr>
                <w:rFonts w:cs="Arial"/>
                <w:szCs w:val="24"/>
                <w:lang w:eastAsia="en-GB"/>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32370" w14:textId="77777777" w:rsidR="00615340" w:rsidRPr="00615340" w:rsidRDefault="00615340" w:rsidP="00615340">
            <w:pPr>
              <w:ind w:left="165" w:right="135"/>
              <w:textAlignment w:val="baseline"/>
              <w:rPr>
                <w:rFonts w:ascii="Times New Roman" w:hAnsi="Times New Roman"/>
                <w:szCs w:val="24"/>
                <w:lang w:eastAsia="en-GB"/>
              </w:rPr>
            </w:pPr>
            <w:r w:rsidRPr="00615340">
              <w:rPr>
                <w:rFonts w:cs="Arial"/>
                <w:b/>
                <w:bCs/>
                <w:szCs w:val="24"/>
                <w:lang w:val="en-US" w:eastAsia="en-GB"/>
              </w:rPr>
              <w:t>RAG Status</w:t>
            </w:r>
            <w:r w:rsidRPr="00615340">
              <w:rPr>
                <w:rFonts w:cs="Arial"/>
                <w:szCs w:val="24"/>
                <w:lang w:eastAsia="en-GB"/>
              </w:rPr>
              <w:t> </w:t>
            </w:r>
          </w:p>
        </w:tc>
      </w:tr>
      <w:tr w:rsidR="00615340" w:rsidRPr="00615340" w14:paraId="0FB73785" w14:textId="77777777" w:rsidTr="008D01D6">
        <w:tc>
          <w:tcPr>
            <w:tcW w:w="3124" w:type="dxa"/>
            <w:tcBorders>
              <w:top w:val="single" w:sz="6" w:space="0" w:color="000000"/>
              <w:left w:val="single" w:sz="6" w:space="0" w:color="000000"/>
              <w:bottom w:val="single" w:sz="6" w:space="0" w:color="000000"/>
              <w:right w:val="single" w:sz="6" w:space="0" w:color="000000"/>
            </w:tcBorders>
            <w:shd w:val="clear" w:color="auto" w:fill="auto"/>
            <w:hideMark/>
          </w:tcPr>
          <w:p w14:paraId="27561D60" w14:textId="284F2E0F" w:rsidR="00615340" w:rsidRPr="00615340" w:rsidRDefault="00615340" w:rsidP="00615340">
            <w:pPr>
              <w:ind w:right="135"/>
              <w:textAlignment w:val="baseline"/>
              <w:rPr>
                <w:rFonts w:ascii="Times New Roman" w:hAnsi="Times New Roman"/>
                <w:szCs w:val="24"/>
                <w:lang w:eastAsia="en-GB"/>
              </w:rPr>
            </w:pPr>
            <w:r w:rsidRPr="00615340">
              <w:rPr>
                <w:rFonts w:cs="Arial"/>
                <w:szCs w:val="24"/>
                <w:lang w:eastAsia="en-GB"/>
              </w:rPr>
              <w:t> </w:t>
            </w:r>
            <w:r w:rsidR="002E265A">
              <w:rPr>
                <w:rFonts w:cs="Arial"/>
                <w:szCs w:val="24"/>
                <w:lang w:eastAsia="en-GB"/>
              </w:rPr>
              <w:t>The continuation of Junior Doctor and Consultant strikes over the winter period will impact the resilience of the system to manage winter pressures</w:t>
            </w:r>
          </w:p>
        </w:tc>
        <w:tc>
          <w:tcPr>
            <w:tcW w:w="3171" w:type="dxa"/>
            <w:tcBorders>
              <w:top w:val="single" w:sz="6" w:space="0" w:color="000000"/>
              <w:left w:val="single" w:sz="6" w:space="0" w:color="000000"/>
              <w:bottom w:val="single" w:sz="6" w:space="0" w:color="000000"/>
              <w:right w:val="single" w:sz="6" w:space="0" w:color="000000"/>
            </w:tcBorders>
            <w:shd w:val="clear" w:color="auto" w:fill="auto"/>
            <w:hideMark/>
          </w:tcPr>
          <w:p w14:paraId="0A221D9B" w14:textId="09A5D0F0" w:rsidR="00615340" w:rsidRPr="00AF2DA4" w:rsidRDefault="002E265A" w:rsidP="00AF2DA4">
            <w:pPr>
              <w:textAlignment w:val="baseline"/>
              <w:rPr>
                <w:rFonts w:cs="Arial"/>
                <w:szCs w:val="24"/>
                <w:lang w:eastAsia="en-GB"/>
              </w:rPr>
            </w:pPr>
            <w:r>
              <w:rPr>
                <w:rFonts w:cs="Arial"/>
                <w:szCs w:val="24"/>
                <w:lang w:eastAsia="en-GB"/>
              </w:rPr>
              <w:t>Business Continuity Planning within Acute Trusts</w:t>
            </w:r>
            <w:r w:rsidR="00615340" w:rsidRPr="00AF2DA4">
              <w:rPr>
                <w:rFonts w:cs="Arial"/>
                <w:szCs w:val="24"/>
                <w:lang w:eastAsia="en-GB"/>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auto"/>
            <w:hideMark/>
          </w:tcPr>
          <w:p w14:paraId="11EE61D6" w14:textId="77777777" w:rsidR="00615340" w:rsidRPr="00615340" w:rsidRDefault="00615340" w:rsidP="00615340">
            <w:pPr>
              <w:ind w:left="165" w:right="135"/>
              <w:textAlignment w:val="baseline"/>
              <w:rPr>
                <w:rFonts w:ascii="Times New Roman" w:hAnsi="Times New Roman"/>
                <w:szCs w:val="24"/>
                <w:lang w:eastAsia="en-GB"/>
              </w:rPr>
            </w:pPr>
            <w:r w:rsidRPr="00615340">
              <w:rPr>
                <w:rFonts w:cs="Arial"/>
                <w:szCs w:val="24"/>
                <w:lang w:val="en-US" w:eastAsia="en-GB"/>
              </w:rPr>
              <w:t>Amber</w:t>
            </w:r>
            <w:r w:rsidRPr="00615340">
              <w:rPr>
                <w:rFonts w:cs="Arial"/>
                <w:szCs w:val="24"/>
                <w:lang w:eastAsia="en-GB"/>
              </w:rPr>
              <w:t> </w:t>
            </w:r>
          </w:p>
          <w:p w14:paraId="012BFDE0" w14:textId="051C8C32" w:rsidR="00615340" w:rsidRPr="00615340" w:rsidRDefault="00615340" w:rsidP="00615340">
            <w:pPr>
              <w:ind w:left="165" w:right="135"/>
              <w:textAlignment w:val="baseline"/>
              <w:rPr>
                <w:rFonts w:ascii="Times New Roman" w:hAnsi="Times New Roman"/>
                <w:szCs w:val="24"/>
                <w:lang w:eastAsia="en-GB"/>
              </w:rPr>
            </w:pPr>
          </w:p>
        </w:tc>
      </w:tr>
    </w:tbl>
    <w:p w14:paraId="62C537BF" w14:textId="77777777" w:rsidR="00FD31A0" w:rsidRPr="00A50388" w:rsidRDefault="00A50388" w:rsidP="00FF4BB9">
      <w:pPr>
        <w:pStyle w:val="Heading3"/>
        <w:rPr>
          <w:color w:val="FF0000"/>
        </w:rPr>
      </w:pPr>
      <w:r w:rsidRPr="004A2543">
        <w:t>Equalities implications</w:t>
      </w:r>
      <w:r>
        <w:t xml:space="preserve"> </w:t>
      </w:r>
      <w:r w:rsidRPr="00333FAA">
        <w:t>/</w:t>
      </w:r>
      <w:r>
        <w:t xml:space="preserve"> </w:t>
      </w:r>
      <w:r w:rsidRPr="00333FAA">
        <w:t>Public Sector Equality Duty</w:t>
      </w:r>
    </w:p>
    <w:p w14:paraId="42F89053" w14:textId="77777777" w:rsidR="00FD31A0" w:rsidRPr="00D619C4" w:rsidRDefault="00FD31A0" w:rsidP="00FD31A0">
      <w:pPr>
        <w:rPr>
          <w:rFonts w:cs="Arial"/>
          <w:b/>
          <w:bCs/>
          <w:szCs w:val="24"/>
          <w:lang w:val="en-US" w:eastAsia="en-GB"/>
        </w:rPr>
      </w:pPr>
      <w:r w:rsidRPr="004A2543">
        <w:t xml:space="preserve">Was an Equality Impact Assessment carried out?  </w:t>
      </w:r>
      <w:r w:rsidR="006C6152" w:rsidRPr="00D619C4">
        <w:rPr>
          <w:rFonts w:cs="Arial"/>
          <w:b/>
          <w:bCs/>
          <w:szCs w:val="24"/>
          <w:lang w:val="en-US" w:eastAsia="en-GB"/>
        </w:rPr>
        <w:t>N/A </w:t>
      </w:r>
    </w:p>
    <w:p w14:paraId="54C5963E" w14:textId="77777777" w:rsidR="006C6152" w:rsidRPr="004A2543" w:rsidRDefault="006C6152" w:rsidP="00FD31A0"/>
    <w:p w14:paraId="7A0CFBD4" w14:textId="44D03587" w:rsidR="00615340" w:rsidRPr="00615340" w:rsidRDefault="00615340" w:rsidP="00615340">
      <w:pPr>
        <w:textAlignment w:val="baseline"/>
        <w:rPr>
          <w:rFonts w:ascii="Segoe UI" w:hAnsi="Segoe UI" w:cs="Segoe UI"/>
          <w:sz w:val="18"/>
          <w:szCs w:val="18"/>
          <w:lang w:eastAsia="en-GB"/>
        </w:rPr>
      </w:pPr>
      <w:r w:rsidRPr="00615340">
        <w:rPr>
          <w:rFonts w:cs="Arial"/>
          <w:color w:val="0000FF"/>
          <w:szCs w:val="24"/>
          <w:lang w:eastAsia="en-GB"/>
        </w:rPr>
        <w:t>   </w:t>
      </w:r>
    </w:p>
    <w:p w14:paraId="5F25EA53" w14:textId="77777777" w:rsidR="0026258C" w:rsidRPr="009117F2" w:rsidRDefault="0026258C" w:rsidP="0026258C">
      <w:pPr>
        <w:pStyle w:val="Heading4"/>
      </w:pPr>
      <w:r>
        <w:t xml:space="preserve">Council </w:t>
      </w:r>
      <w:r w:rsidRPr="009117F2">
        <w:t>Priorities</w:t>
      </w:r>
    </w:p>
    <w:p w14:paraId="0FC5C778" w14:textId="564F495F" w:rsidR="0026258C" w:rsidRPr="00AF2DA4" w:rsidRDefault="0026258C" w:rsidP="00AF2DA4">
      <w:pPr>
        <w:pStyle w:val="StyleListParagraphBold"/>
        <w:ind w:left="0"/>
        <w:rPr>
          <w:b w:val="0"/>
          <w:bCs w:val="0"/>
        </w:rPr>
      </w:pPr>
      <w:r w:rsidRPr="00AF2DA4">
        <w:rPr>
          <w:b w:val="0"/>
          <w:bCs w:val="0"/>
        </w:rPr>
        <w:t>A place where those in need are supported</w:t>
      </w:r>
      <w:r w:rsidR="00AF2DA4" w:rsidRPr="00AF2DA4">
        <w:rPr>
          <w:b w:val="0"/>
          <w:bCs w:val="0"/>
        </w:rPr>
        <w:t>.</w:t>
      </w:r>
    </w:p>
    <w:p w14:paraId="31820A7B" w14:textId="77777777" w:rsidR="002A2389" w:rsidRPr="00FF4BB9" w:rsidRDefault="002A2389" w:rsidP="00FF4BB9">
      <w:pPr>
        <w:pStyle w:val="Heading2"/>
      </w:pPr>
      <w:r w:rsidRPr="00FF4BB9">
        <w:t>Section 3 - Statutory Officer Clearance</w:t>
      </w:r>
      <w:r w:rsidR="00BE1C78" w:rsidRPr="00FF4BB9">
        <w:t xml:space="preserve"> </w:t>
      </w:r>
      <w:r w:rsidR="001417FD" w:rsidRPr="00FF4BB9">
        <w:t>(Council and Joint Reports)</w:t>
      </w:r>
    </w:p>
    <w:p w14:paraId="6E2BC50F" w14:textId="77777777" w:rsidR="002A2389" w:rsidRDefault="002A2389" w:rsidP="008D1750">
      <w:pPr>
        <w:keepNext/>
        <w:rPr>
          <w:rFonts w:cs="Arial"/>
        </w:rPr>
      </w:pPr>
    </w:p>
    <w:p w14:paraId="2033CA5C" w14:textId="64381D15" w:rsidR="00FF4BB9" w:rsidRPr="00A66326" w:rsidRDefault="00FF4BB9" w:rsidP="00FF4BB9">
      <w:pPr>
        <w:rPr>
          <w:sz w:val="28"/>
        </w:rPr>
      </w:pPr>
      <w:r w:rsidRPr="00A66326">
        <w:rPr>
          <w:b/>
          <w:sz w:val="28"/>
        </w:rPr>
        <w:t>Statutory Officer:</w:t>
      </w:r>
      <w:r w:rsidR="003A44B1">
        <w:rPr>
          <w:b/>
          <w:sz w:val="28"/>
        </w:rPr>
        <w:t xml:space="preserve"> </w:t>
      </w:r>
      <w:r w:rsidR="003A44B1" w:rsidRPr="00164102">
        <w:rPr>
          <w:b/>
          <w:color w:val="000000" w:themeColor="text1"/>
          <w:sz w:val="28"/>
        </w:rPr>
        <w:t>Donna Edwards</w:t>
      </w:r>
      <w:r w:rsidRPr="00164102">
        <w:rPr>
          <w:b/>
          <w:color w:val="000000" w:themeColor="text1"/>
          <w:sz w:val="28"/>
        </w:rPr>
        <w:t xml:space="preserve">  </w:t>
      </w:r>
    </w:p>
    <w:p w14:paraId="7DE6F346" w14:textId="4DFC79CE" w:rsidR="00FF4BB9" w:rsidRPr="00A66326" w:rsidRDefault="00FF4BB9" w:rsidP="00FF4BB9">
      <w:r w:rsidRPr="00A66326">
        <w:t>Signed on behalf of the Chief Financial Officer</w:t>
      </w:r>
    </w:p>
    <w:p w14:paraId="2A803CFD" w14:textId="707B5028" w:rsidR="00FF4BB9" w:rsidRPr="00A66326" w:rsidRDefault="00FF4BB9" w:rsidP="00FF4BB9">
      <w:pPr>
        <w:spacing w:after="480"/>
        <w:rPr>
          <w:sz w:val="28"/>
        </w:rPr>
      </w:pPr>
      <w:r w:rsidRPr="00A66326">
        <w:rPr>
          <w:b/>
          <w:sz w:val="28"/>
        </w:rPr>
        <w:t xml:space="preserve">Date:  </w:t>
      </w:r>
      <w:r w:rsidR="003A44B1">
        <w:rPr>
          <w:b/>
          <w:sz w:val="28"/>
        </w:rPr>
        <w:t>17/10/2023</w:t>
      </w:r>
    </w:p>
    <w:p w14:paraId="14B07A9F" w14:textId="3F299BC6" w:rsidR="00FF4BB9" w:rsidRPr="00A66326" w:rsidRDefault="00FF4BB9" w:rsidP="00FF4BB9">
      <w:pPr>
        <w:rPr>
          <w:sz w:val="28"/>
        </w:rPr>
      </w:pPr>
      <w:r w:rsidRPr="00A66326">
        <w:rPr>
          <w:b/>
          <w:sz w:val="28"/>
        </w:rPr>
        <w:t xml:space="preserve">Statutory Officer:  </w:t>
      </w:r>
      <w:r w:rsidR="00AF22E7">
        <w:rPr>
          <w:b/>
          <w:sz w:val="28"/>
        </w:rPr>
        <w:t xml:space="preserve">Sharon Clarke </w:t>
      </w:r>
    </w:p>
    <w:p w14:paraId="515CEEE4" w14:textId="5DF72262" w:rsidR="00FF4BB9" w:rsidRPr="00A66326" w:rsidRDefault="00FF4BB9" w:rsidP="00FF4BB9">
      <w:r w:rsidRPr="00A66326">
        <w:t>Signed on behalf of the Monitoring Officer</w:t>
      </w:r>
    </w:p>
    <w:p w14:paraId="1922AC8B" w14:textId="42FD950B" w:rsidR="00FF4BB9" w:rsidRPr="003313EA" w:rsidRDefault="00FF4BB9" w:rsidP="00FF4BB9">
      <w:pPr>
        <w:spacing w:after="480"/>
        <w:rPr>
          <w:sz w:val="28"/>
        </w:rPr>
      </w:pPr>
      <w:r w:rsidRPr="00A66326">
        <w:rPr>
          <w:b/>
          <w:sz w:val="28"/>
        </w:rPr>
        <w:t xml:space="preserve">Date:  </w:t>
      </w:r>
      <w:r w:rsidR="00C0687B">
        <w:rPr>
          <w:b/>
          <w:sz w:val="28"/>
        </w:rPr>
        <w:t>18/10/2023</w:t>
      </w:r>
    </w:p>
    <w:p w14:paraId="624215E1" w14:textId="2ADFBE2C" w:rsidR="00FF4BB9" w:rsidRPr="00A66326" w:rsidRDefault="001E7655" w:rsidP="00FF4BB9">
      <w:pPr>
        <w:rPr>
          <w:sz w:val="28"/>
        </w:rPr>
      </w:pPr>
      <w:r>
        <w:rPr>
          <w:b/>
          <w:sz w:val="28"/>
        </w:rPr>
        <w:t>Chief</w:t>
      </w:r>
      <w:r w:rsidR="00FF4BB9" w:rsidRPr="00A66326">
        <w:rPr>
          <w:b/>
          <w:sz w:val="28"/>
        </w:rPr>
        <w:t xml:space="preserve"> Officer:  </w:t>
      </w:r>
      <w:r w:rsidR="00AF22E7">
        <w:rPr>
          <w:b/>
          <w:sz w:val="28"/>
        </w:rPr>
        <w:t xml:space="preserve">Senel Arkut </w:t>
      </w:r>
    </w:p>
    <w:p w14:paraId="1C4E3A39" w14:textId="77777777" w:rsidR="00FF4BB9" w:rsidRPr="00A66326" w:rsidRDefault="002C1D70" w:rsidP="00FF4BB9">
      <w:r>
        <w:t xml:space="preserve">Signed </w:t>
      </w:r>
      <w:r w:rsidR="00FF4BB9" w:rsidRPr="00A66326">
        <w:t>by the Corporate Director</w:t>
      </w:r>
    </w:p>
    <w:p w14:paraId="5B0BB7EC" w14:textId="191C05A8" w:rsidR="00FF4BB9" w:rsidRPr="00A66326" w:rsidRDefault="00FF4BB9" w:rsidP="00FF4BB9">
      <w:pPr>
        <w:spacing w:after="480"/>
        <w:rPr>
          <w:sz w:val="28"/>
        </w:rPr>
      </w:pPr>
      <w:r w:rsidRPr="00A66326">
        <w:rPr>
          <w:b/>
          <w:sz w:val="28"/>
        </w:rPr>
        <w:t xml:space="preserve">Date: </w:t>
      </w:r>
      <w:r w:rsidR="00C411DB">
        <w:rPr>
          <w:b/>
          <w:sz w:val="28"/>
        </w:rPr>
        <w:t>19/11/2023</w:t>
      </w:r>
      <w:r w:rsidRPr="00A66326">
        <w:rPr>
          <w:b/>
          <w:sz w:val="28"/>
        </w:rPr>
        <w:t xml:space="preserve"> </w:t>
      </w:r>
    </w:p>
    <w:p w14:paraId="6B9BCD2C" w14:textId="77777777" w:rsidR="00FF4BB9" w:rsidRPr="00435B5D" w:rsidRDefault="00FF4BB9" w:rsidP="00FF4BB9">
      <w:pPr>
        <w:pStyle w:val="Heading3"/>
      </w:pPr>
      <w:r>
        <w:t>Mandatory Checks</w:t>
      </w:r>
    </w:p>
    <w:p w14:paraId="531B038D" w14:textId="423B754D" w:rsidR="00FF4BB9" w:rsidRPr="00FF4BB9" w:rsidRDefault="00FF4BB9" w:rsidP="00530D4A">
      <w:pPr>
        <w:pStyle w:val="Heading4"/>
      </w:pPr>
      <w:r w:rsidRPr="00FF4BB9">
        <w:t>Ward Councillors notified:  N</w:t>
      </w:r>
      <w:r w:rsidR="00BC1952">
        <w:t>o</w:t>
      </w:r>
      <w:r w:rsidRPr="00FF4BB9">
        <w:t xml:space="preserve">, as it impacts on all Wards </w:t>
      </w:r>
    </w:p>
    <w:p w14:paraId="6E891354" w14:textId="77777777" w:rsidR="00FF4BB9" w:rsidRDefault="00FF4BB9" w:rsidP="00FF4BB9">
      <w:pPr>
        <w:pStyle w:val="Heading2"/>
        <w:keepNext/>
      </w:pPr>
      <w:r>
        <w:t>Section 4 - Contact Details and Background Papers</w:t>
      </w:r>
    </w:p>
    <w:p w14:paraId="1BB77687" w14:textId="77777777" w:rsidR="006C6152" w:rsidRDefault="00FF4BB9" w:rsidP="006C6152">
      <w:pPr>
        <w:pStyle w:val="Infotext"/>
        <w:rPr>
          <w:rFonts w:cs="Arial"/>
          <w:sz w:val="24"/>
        </w:rPr>
      </w:pPr>
      <w:r w:rsidRPr="00D914D2">
        <w:rPr>
          <w:b/>
        </w:rPr>
        <w:t>Contact:</w:t>
      </w:r>
      <w:r>
        <w:t xml:space="preserve">  </w:t>
      </w:r>
      <w:r w:rsidR="006C6152">
        <w:rPr>
          <w:rFonts w:cs="Arial"/>
          <w:sz w:val="24"/>
        </w:rPr>
        <w:t>Hugh Caslake: AD Integration and Delivery (07958 196271)</w:t>
      </w:r>
    </w:p>
    <w:p w14:paraId="684ADA01" w14:textId="77777777" w:rsidR="006C6152" w:rsidRDefault="006C6152" w:rsidP="006C6152">
      <w:pPr>
        <w:pStyle w:val="Infotext"/>
        <w:rPr>
          <w:rFonts w:cs="Arial"/>
          <w:sz w:val="24"/>
        </w:rPr>
      </w:pPr>
    </w:p>
    <w:p w14:paraId="1A9A44B6" w14:textId="2B2FF01C" w:rsidR="00FF4BB9" w:rsidRDefault="00FF4BB9" w:rsidP="006C6152">
      <w:pPr>
        <w:pStyle w:val="Infotext"/>
        <w:rPr>
          <w:rFonts w:cs="Arial"/>
          <w:sz w:val="24"/>
        </w:rPr>
      </w:pPr>
      <w:r w:rsidRPr="00D914D2">
        <w:rPr>
          <w:b/>
        </w:rPr>
        <w:t>Background Papers</w:t>
      </w:r>
      <w:r>
        <w:t xml:space="preserve">:  </w:t>
      </w:r>
    </w:p>
    <w:p w14:paraId="691B3245" w14:textId="53646193" w:rsidR="008D01D6" w:rsidRDefault="008D01D6" w:rsidP="006C6152">
      <w:pPr>
        <w:pStyle w:val="Infotext"/>
        <w:rPr>
          <w:rFonts w:cs="Arial"/>
          <w:sz w:val="24"/>
        </w:rPr>
      </w:pPr>
    </w:p>
    <w:p w14:paraId="2B4AC69F" w14:textId="729171D6" w:rsidR="006C6152" w:rsidRDefault="00AF2DA4" w:rsidP="006C6152">
      <w:pPr>
        <w:pStyle w:val="Infotext"/>
        <w:rPr>
          <w:rFonts w:cs="Arial"/>
          <w:sz w:val="24"/>
        </w:rPr>
      </w:pPr>
      <w:r>
        <w:rPr>
          <w:rFonts w:cs="Arial"/>
          <w:sz w:val="24"/>
        </w:rPr>
        <w:t>None</w:t>
      </w:r>
    </w:p>
    <w:p w14:paraId="51E638B3" w14:textId="3A49DB37" w:rsidR="00FF4BB9" w:rsidRDefault="00FF4BB9" w:rsidP="00FF4BB9">
      <w:pPr>
        <w:pStyle w:val="Infotext"/>
        <w:spacing w:before="360" w:after="240"/>
      </w:pPr>
      <w:r>
        <w:t xml:space="preserve">If appropriate, does the report include the following considerations? </w:t>
      </w:r>
    </w:p>
    <w:p w14:paraId="081A035F" w14:textId="69694310" w:rsidR="00FF4BB9" w:rsidRDefault="00FF4BB9" w:rsidP="00FF4BB9">
      <w:pPr>
        <w:pStyle w:val="Infotext"/>
        <w:tabs>
          <w:tab w:val="left" w:pos="656"/>
          <w:tab w:val="left" w:pos="6399"/>
        </w:tabs>
      </w:pPr>
      <w:r>
        <w:t>1.</w:t>
      </w:r>
      <w:r>
        <w:tab/>
        <w:t xml:space="preserve">Consultation </w:t>
      </w:r>
      <w:r>
        <w:tab/>
        <w:t>NO</w:t>
      </w:r>
    </w:p>
    <w:p w14:paraId="69000CE8" w14:textId="3DC9DA3D" w:rsidR="002A2389" w:rsidRDefault="00FF4BB9" w:rsidP="00615340">
      <w:pPr>
        <w:pStyle w:val="Infotext"/>
        <w:tabs>
          <w:tab w:val="left" w:pos="656"/>
          <w:tab w:val="left" w:pos="6399"/>
        </w:tabs>
      </w:pPr>
      <w:r>
        <w:t>2.</w:t>
      </w:r>
      <w:r>
        <w:tab/>
        <w:t>Priorities</w:t>
      </w:r>
      <w:r>
        <w:tab/>
        <w:t xml:space="preserve">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0647" w14:textId="77777777" w:rsidR="00C327D7" w:rsidRDefault="00C327D7">
      <w:r>
        <w:separator/>
      </w:r>
    </w:p>
  </w:endnote>
  <w:endnote w:type="continuationSeparator" w:id="0">
    <w:p w14:paraId="6DC62918" w14:textId="77777777" w:rsidR="00C327D7" w:rsidRDefault="00C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7D99" w14:textId="77777777" w:rsidR="00C327D7" w:rsidRDefault="00C327D7">
      <w:r>
        <w:separator/>
      </w:r>
    </w:p>
  </w:footnote>
  <w:footnote w:type="continuationSeparator" w:id="0">
    <w:p w14:paraId="2EDF5D15" w14:textId="77777777" w:rsidR="00C327D7" w:rsidRDefault="00C3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5372"/>
    <w:multiLevelType w:val="hybridMultilevel"/>
    <w:tmpl w:val="2F4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66B5E"/>
    <w:multiLevelType w:val="hybridMultilevel"/>
    <w:tmpl w:val="868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32CF3"/>
    <w:multiLevelType w:val="hybridMultilevel"/>
    <w:tmpl w:val="3D4C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480116">
    <w:abstractNumId w:val="17"/>
  </w:num>
  <w:num w:numId="2" w16cid:durableId="351300576">
    <w:abstractNumId w:val="12"/>
  </w:num>
  <w:num w:numId="3" w16cid:durableId="664865260">
    <w:abstractNumId w:val="16"/>
  </w:num>
  <w:num w:numId="4" w16cid:durableId="165677800">
    <w:abstractNumId w:val="1"/>
  </w:num>
  <w:num w:numId="5" w16cid:durableId="3818306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538432">
    <w:abstractNumId w:val="8"/>
  </w:num>
  <w:num w:numId="7" w16cid:durableId="1997144820">
    <w:abstractNumId w:val="9"/>
  </w:num>
  <w:num w:numId="8" w16cid:durableId="1878155740">
    <w:abstractNumId w:val="4"/>
  </w:num>
  <w:num w:numId="9" w16cid:durableId="1801721957">
    <w:abstractNumId w:val="15"/>
  </w:num>
  <w:num w:numId="10" w16cid:durableId="2078552396">
    <w:abstractNumId w:val="19"/>
  </w:num>
  <w:num w:numId="11" w16cid:durableId="1165054778">
    <w:abstractNumId w:val="13"/>
  </w:num>
  <w:num w:numId="12" w16cid:durableId="12416588">
    <w:abstractNumId w:val="3"/>
  </w:num>
  <w:num w:numId="13" w16cid:durableId="851379135">
    <w:abstractNumId w:val="7"/>
  </w:num>
  <w:num w:numId="14" w16cid:durableId="2066561678">
    <w:abstractNumId w:val="11"/>
  </w:num>
  <w:num w:numId="15" w16cid:durableId="2133862190">
    <w:abstractNumId w:val="5"/>
  </w:num>
  <w:num w:numId="16" w16cid:durableId="808282335">
    <w:abstractNumId w:val="18"/>
  </w:num>
  <w:num w:numId="17" w16cid:durableId="969214798">
    <w:abstractNumId w:val="10"/>
  </w:num>
  <w:num w:numId="18" w16cid:durableId="742066981">
    <w:abstractNumId w:val="0"/>
  </w:num>
  <w:num w:numId="19" w16cid:durableId="1001154890">
    <w:abstractNumId w:val="6"/>
  </w:num>
  <w:num w:numId="20" w16cid:durableId="1812550327">
    <w:abstractNumId w:val="2"/>
  </w:num>
  <w:num w:numId="21" w16cid:durableId="63414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03"/>
    <w:rsid w:val="000110EA"/>
    <w:rsid w:val="00045B61"/>
    <w:rsid w:val="00057F10"/>
    <w:rsid w:val="00066C35"/>
    <w:rsid w:val="00071EB4"/>
    <w:rsid w:val="00077298"/>
    <w:rsid w:val="00080819"/>
    <w:rsid w:val="000B6DBB"/>
    <w:rsid w:val="000D2BF2"/>
    <w:rsid w:val="000F65C0"/>
    <w:rsid w:val="00122491"/>
    <w:rsid w:val="001417FD"/>
    <w:rsid w:val="00164102"/>
    <w:rsid w:val="001727A8"/>
    <w:rsid w:val="001939BA"/>
    <w:rsid w:val="001976BF"/>
    <w:rsid w:val="001C5225"/>
    <w:rsid w:val="001E0219"/>
    <w:rsid w:val="001E7655"/>
    <w:rsid w:val="001F341E"/>
    <w:rsid w:val="00231A1D"/>
    <w:rsid w:val="0026258C"/>
    <w:rsid w:val="00296F20"/>
    <w:rsid w:val="002A2389"/>
    <w:rsid w:val="002A6109"/>
    <w:rsid w:val="002B2C46"/>
    <w:rsid w:val="002C08E2"/>
    <w:rsid w:val="002C1794"/>
    <w:rsid w:val="002C1D70"/>
    <w:rsid w:val="002E265A"/>
    <w:rsid w:val="002E77E3"/>
    <w:rsid w:val="003115B3"/>
    <w:rsid w:val="0034544F"/>
    <w:rsid w:val="003772A0"/>
    <w:rsid w:val="003A44B1"/>
    <w:rsid w:val="003B6B15"/>
    <w:rsid w:val="003C0B16"/>
    <w:rsid w:val="00404600"/>
    <w:rsid w:val="004213D7"/>
    <w:rsid w:val="0042394B"/>
    <w:rsid w:val="00473B08"/>
    <w:rsid w:val="00474B5F"/>
    <w:rsid w:val="00485470"/>
    <w:rsid w:val="004B2C9D"/>
    <w:rsid w:val="004C2D29"/>
    <w:rsid w:val="004D5D86"/>
    <w:rsid w:val="004E667D"/>
    <w:rsid w:val="004E6AF9"/>
    <w:rsid w:val="00513FB9"/>
    <w:rsid w:val="00530D4A"/>
    <w:rsid w:val="00555217"/>
    <w:rsid w:val="00565C44"/>
    <w:rsid w:val="005861B4"/>
    <w:rsid w:val="005874F0"/>
    <w:rsid w:val="005D4ADF"/>
    <w:rsid w:val="005E384D"/>
    <w:rsid w:val="005E570E"/>
    <w:rsid w:val="005F0B13"/>
    <w:rsid w:val="005F2181"/>
    <w:rsid w:val="005F724B"/>
    <w:rsid w:val="00615340"/>
    <w:rsid w:val="0063072B"/>
    <w:rsid w:val="006465F6"/>
    <w:rsid w:val="00662891"/>
    <w:rsid w:val="00675FCB"/>
    <w:rsid w:val="006A7572"/>
    <w:rsid w:val="006C3914"/>
    <w:rsid w:val="006C4566"/>
    <w:rsid w:val="006C6152"/>
    <w:rsid w:val="006D2C51"/>
    <w:rsid w:val="0074184E"/>
    <w:rsid w:val="00755F8D"/>
    <w:rsid w:val="007652C0"/>
    <w:rsid w:val="00796503"/>
    <w:rsid w:val="007D56C8"/>
    <w:rsid w:val="007E7303"/>
    <w:rsid w:val="007F7B2F"/>
    <w:rsid w:val="00803162"/>
    <w:rsid w:val="008136B1"/>
    <w:rsid w:val="0084413D"/>
    <w:rsid w:val="0089271D"/>
    <w:rsid w:val="008D01D6"/>
    <w:rsid w:val="008D1750"/>
    <w:rsid w:val="008E4913"/>
    <w:rsid w:val="008F4594"/>
    <w:rsid w:val="00900464"/>
    <w:rsid w:val="0090100E"/>
    <w:rsid w:val="0093767E"/>
    <w:rsid w:val="00972A02"/>
    <w:rsid w:val="0099517C"/>
    <w:rsid w:val="009B24CB"/>
    <w:rsid w:val="009B2ECD"/>
    <w:rsid w:val="009B5DFA"/>
    <w:rsid w:val="009B6FD7"/>
    <w:rsid w:val="009B7337"/>
    <w:rsid w:val="009B7914"/>
    <w:rsid w:val="009E263A"/>
    <w:rsid w:val="00A27CEF"/>
    <w:rsid w:val="00A43885"/>
    <w:rsid w:val="00A50388"/>
    <w:rsid w:val="00A51FAE"/>
    <w:rsid w:val="00A566E7"/>
    <w:rsid w:val="00A613C1"/>
    <w:rsid w:val="00A76A21"/>
    <w:rsid w:val="00A940D3"/>
    <w:rsid w:val="00A96FCA"/>
    <w:rsid w:val="00AA4BE8"/>
    <w:rsid w:val="00AA5D1C"/>
    <w:rsid w:val="00AC7BA9"/>
    <w:rsid w:val="00AF22E7"/>
    <w:rsid w:val="00AF2DA4"/>
    <w:rsid w:val="00B0425E"/>
    <w:rsid w:val="00B92AA6"/>
    <w:rsid w:val="00B9498A"/>
    <w:rsid w:val="00BB68EB"/>
    <w:rsid w:val="00BC1952"/>
    <w:rsid w:val="00BD684A"/>
    <w:rsid w:val="00BE1C78"/>
    <w:rsid w:val="00BF6C06"/>
    <w:rsid w:val="00C0687B"/>
    <w:rsid w:val="00C171C8"/>
    <w:rsid w:val="00C20AD9"/>
    <w:rsid w:val="00C327D7"/>
    <w:rsid w:val="00C32DAE"/>
    <w:rsid w:val="00C40E24"/>
    <w:rsid w:val="00C411DB"/>
    <w:rsid w:val="00C82CEC"/>
    <w:rsid w:val="00C96EF5"/>
    <w:rsid w:val="00D1109B"/>
    <w:rsid w:val="00D32B51"/>
    <w:rsid w:val="00D34145"/>
    <w:rsid w:val="00D34668"/>
    <w:rsid w:val="00D3740E"/>
    <w:rsid w:val="00D619C4"/>
    <w:rsid w:val="00D67254"/>
    <w:rsid w:val="00D82F57"/>
    <w:rsid w:val="00D841A5"/>
    <w:rsid w:val="00D85AA8"/>
    <w:rsid w:val="00D914D2"/>
    <w:rsid w:val="00DA25DB"/>
    <w:rsid w:val="00DB39E5"/>
    <w:rsid w:val="00DD4251"/>
    <w:rsid w:val="00DF48BB"/>
    <w:rsid w:val="00E02B50"/>
    <w:rsid w:val="00E03F11"/>
    <w:rsid w:val="00E06DC8"/>
    <w:rsid w:val="00E220B5"/>
    <w:rsid w:val="00E66F12"/>
    <w:rsid w:val="00EA6242"/>
    <w:rsid w:val="00EE0325"/>
    <w:rsid w:val="00F37C8A"/>
    <w:rsid w:val="00F4213B"/>
    <w:rsid w:val="00F5061E"/>
    <w:rsid w:val="00F530E6"/>
    <w:rsid w:val="00F66DED"/>
    <w:rsid w:val="00F849ED"/>
    <w:rsid w:val="00F92398"/>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B7FB2"/>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paragraph" w:styleId="Revision">
    <w:name w:val="Revision"/>
    <w:hidden/>
    <w:uiPriority w:val="99"/>
    <w:semiHidden/>
    <w:rsid w:val="0040460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9869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4960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2023-10-20T10:03:00Z</dcterms:created>
  <dcterms:modified xsi:type="dcterms:W3CDTF">2023-10-20T10:03:00Z</dcterms:modified>
</cp:coreProperties>
</file>